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D10095" w:rsidRPr="000E62B5" w:rsidRDefault="00E36EE7" w:rsidP="00E509AD">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 </w:t>
      </w:r>
      <w:r w:rsidR="00D10095" w:rsidRPr="000E62B5">
        <w:rPr>
          <w:rFonts w:ascii="Times New Roman" w:hAnsi="Times New Roman"/>
          <w:sz w:val="24"/>
          <w:szCs w:val="24"/>
        </w:rPr>
        <w:t>постановлени</w:t>
      </w:r>
      <w:r w:rsidRPr="000E62B5">
        <w:rPr>
          <w:rFonts w:ascii="Times New Roman" w:hAnsi="Times New Roman"/>
          <w:sz w:val="24"/>
          <w:szCs w:val="24"/>
        </w:rPr>
        <w:t>ю</w:t>
      </w:r>
      <w:r w:rsidR="00D10095" w:rsidRPr="000E62B5">
        <w:rPr>
          <w:rFonts w:ascii="Times New Roman" w:hAnsi="Times New Roman"/>
          <w:sz w:val="24"/>
          <w:szCs w:val="24"/>
        </w:rPr>
        <w:t xml:space="preserve"> </w:t>
      </w:r>
      <w:r w:rsidR="00E509AD">
        <w:rPr>
          <w:rFonts w:ascii="Times New Roman" w:hAnsi="Times New Roman"/>
          <w:sz w:val="24"/>
          <w:szCs w:val="24"/>
        </w:rPr>
        <w:t>ТИК Егорлыкского района</w:t>
      </w:r>
    </w:p>
    <w:p w:rsidR="00D10095" w:rsidRPr="000E62B5" w:rsidRDefault="00AE6656" w:rsidP="00AE6656">
      <w:pPr>
        <w:pStyle w:val="a5"/>
        <w:ind w:left="5670"/>
        <w:rPr>
          <w:sz w:val="24"/>
          <w:szCs w:val="24"/>
        </w:rPr>
      </w:pPr>
      <w:r>
        <w:rPr>
          <w:sz w:val="24"/>
          <w:szCs w:val="24"/>
        </w:rPr>
        <w:t xml:space="preserve">        </w:t>
      </w:r>
      <w:r w:rsidR="00D64606" w:rsidRPr="000E62B5">
        <w:rPr>
          <w:sz w:val="24"/>
          <w:szCs w:val="24"/>
        </w:rPr>
        <w:t xml:space="preserve">от </w:t>
      </w:r>
      <w:r w:rsidR="00E509AD">
        <w:rPr>
          <w:sz w:val="24"/>
          <w:szCs w:val="24"/>
        </w:rPr>
        <w:t>29</w:t>
      </w:r>
      <w:r>
        <w:rPr>
          <w:sz w:val="24"/>
          <w:szCs w:val="24"/>
        </w:rPr>
        <w:t>.06.</w:t>
      </w:r>
      <w:r w:rsidR="00A44393" w:rsidRPr="000E62B5">
        <w:rPr>
          <w:sz w:val="24"/>
          <w:szCs w:val="24"/>
        </w:rPr>
        <w:t>2</w:t>
      </w:r>
      <w:r w:rsidR="00381634" w:rsidRPr="000E62B5">
        <w:rPr>
          <w:sz w:val="24"/>
          <w:szCs w:val="24"/>
        </w:rPr>
        <w:t>02</w:t>
      </w:r>
      <w:r w:rsidR="00E509AD">
        <w:rPr>
          <w:sz w:val="24"/>
          <w:szCs w:val="24"/>
        </w:rPr>
        <w:t>6</w:t>
      </w:r>
      <w:r w:rsidR="00FB67CB" w:rsidRPr="000E62B5">
        <w:rPr>
          <w:sz w:val="24"/>
          <w:szCs w:val="24"/>
        </w:rPr>
        <w:t xml:space="preserve"> г. № </w:t>
      </w:r>
      <w:r w:rsidR="00E509AD">
        <w:rPr>
          <w:sz w:val="24"/>
          <w:szCs w:val="24"/>
        </w:rPr>
        <w:t>6-10</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E509AD">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E509AD">
        <w:rPr>
          <w:b w:val="0"/>
          <w:szCs w:val="28"/>
        </w:rPr>
        <w:t>Территориальную избирательную комиссию Егорлыкского района</w:t>
      </w:r>
      <w:r w:rsidRPr="000E62B5">
        <w:rPr>
          <w:b w:val="0"/>
          <w:szCs w:val="28"/>
        </w:rPr>
        <w:t xml:space="preserve"> при проведении </w:t>
      </w:r>
      <w:proofErr w:type="gramStart"/>
      <w:r w:rsidRPr="000E62B5">
        <w:rPr>
          <w:b w:val="0"/>
          <w:szCs w:val="28"/>
        </w:rPr>
        <w:t xml:space="preserve">выборов депутатов </w:t>
      </w:r>
      <w:r w:rsidR="00E509AD">
        <w:rPr>
          <w:b w:val="0"/>
          <w:szCs w:val="28"/>
        </w:rPr>
        <w:t>Собраний депутатов сельских поселений</w:t>
      </w:r>
      <w:proofErr w:type="gramEnd"/>
      <w:r w:rsidR="00E509AD">
        <w:rPr>
          <w:b w:val="0"/>
          <w:szCs w:val="28"/>
        </w:rPr>
        <w:t xml:space="preserve"> Егорлыкского района шестого созыва</w:t>
      </w:r>
      <w:bookmarkStart w:id="0" w:name="_GoBack"/>
      <w:bookmarkEnd w:id="0"/>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(далее – ТИК) для </w:t>
      </w:r>
      <w:proofErr w:type="gramStart"/>
      <w:r w:rsidRPr="000E62B5">
        <w:rPr>
          <w:b w:val="0"/>
          <w:szCs w:val="28"/>
          <w:u w:val="single"/>
        </w:rPr>
        <w:t>заверения списка</w:t>
      </w:r>
      <w:proofErr w:type="gramEnd"/>
      <w:r w:rsidRPr="000E62B5">
        <w:rPr>
          <w:b w:val="0"/>
          <w:szCs w:val="28"/>
          <w:u w:val="single"/>
        </w:rPr>
        <w:t xml:space="preserve"> кандидатов </w:t>
      </w:r>
      <w:r w:rsidRPr="000E62B5">
        <w:rPr>
          <w:b w:val="0"/>
          <w:szCs w:val="28"/>
          <w:u w:val="single"/>
        </w:rPr>
        <w:br/>
        <w:t>по одномандатным (многомандатным)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одномандатным (многомандатным) избирательным округам на бумажном носителе и в машиночитаемом виде, </w:t>
      </w:r>
      <w:r w:rsidRPr="0070178A">
        <w:rPr>
          <w:b w:val="0"/>
          <w:szCs w:val="28"/>
        </w:rPr>
        <w:br/>
        <w:t xml:space="preserve">в котором </w:t>
      </w:r>
      <w:r w:rsidR="0070178A" w:rsidRPr="0070178A">
        <w:rPr>
          <w:b w:val="0"/>
          <w:szCs w:val="28"/>
        </w:rPr>
        <w:t xml:space="preserve">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3"/>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одномандатным (многомандатным) избирательным округам, о согласии баллотироваться по соответствующему одномандатному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w:t>
      </w:r>
      <w:r>
        <w:rPr>
          <w:b w:val="0"/>
          <w:szCs w:val="28"/>
        </w:rPr>
        <w:lastRenderedPageBreak/>
        <w:t xml:space="preserve">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5)</w:t>
      </w:r>
      <w:r w:rsidR="000E62B5" w:rsidRPr="00AD19ED">
        <w:rPr>
          <w:rStyle w:val="a8"/>
          <w:b w:val="0"/>
          <w:szCs w:val="28"/>
        </w:rPr>
        <w:footnoteReference w:id="5"/>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64180" w:rsidRPr="00A02453" w:rsidRDefault="00A02453" w:rsidP="00864180">
      <w:pPr>
        <w:pStyle w:val="a3"/>
        <w:ind w:firstLine="709"/>
        <w:jc w:val="both"/>
        <w:rPr>
          <w:b w:val="0"/>
          <w:szCs w:val="28"/>
        </w:rPr>
      </w:pPr>
      <w:r w:rsidRPr="00A02453">
        <w:rPr>
          <w:b w:val="0"/>
          <w:szCs w:val="28"/>
          <w:highlight w:val="yellow"/>
        </w:rPr>
        <w:t xml:space="preserve">1.5. </w:t>
      </w:r>
      <w:proofErr w:type="gramStart"/>
      <w:r w:rsidRPr="00A02453">
        <w:rPr>
          <w:rFonts w:eastAsiaTheme="minorHAnsi"/>
          <w:b w:val="0"/>
          <w:szCs w:val="28"/>
          <w:highlight w:val="yellow"/>
          <w:lang w:eastAsia="en-US"/>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w:t>
      </w:r>
      <w:proofErr w:type="gramEnd"/>
      <w:r w:rsidRPr="00A02453">
        <w:rPr>
          <w:rFonts w:eastAsiaTheme="minorHAnsi"/>
          <w:b w:val="0"/>
          <w:szCs w:val="28"/>
          <w:highlight w:val="yellow"/>
          <w:lang w:eastAsia="en-US"/>
        </w:rPr>
        <w:t xml:space="preserve"> снятия копии)</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roofErr w:type="gramEnd"/>
    </w:p>
    <w:p w:rsidR="00047FD6" w:rsidRDefault="00047FD6" w:rsidP="00047FD6">
      <w:pPr>
        <w:pStyle w:val="a3"/>
        <w:ind w:firstLine="709"/>
        <w:jc w:val="both"/>
        <w:rPr>
          <w:b w:val="0"/>
          <w:szCs w:val="28"/>
        </w:rPr>
      </w:pPr>
      <w:r w:rsidRPr="00047FD6">
        <w:rPr>
          <w:b w:val="0"/>
          <w:szCs w:val="28"/>
        </w:rPr>
        <w:lastRenderedPageBreak/>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A02453" w:rsidRDefault="00A02453" w:rsidP="00A02453">
      <w:pPr>
        <w:spacing w:line="240" w:lineRule="auto"/>
        <w:ind w:firstLine="741"/>
        <w:jc w:val="both"/>
        <w:rPr>
          <w:rFonts w:ascii="Times New Roman" w:hAnsi="Times New Roman"/>
          <w:color w:val="000000" w:themeColor="text1"/>
          <w:sz w:val="28"/>
          <w:szCs w:val="28"/>
          <w:highlight w:val="yellow"/>
        </w:rPr>
      </w:pPr>
      <w:r w:rsidRPr="00A02453">
        <w:rPr>
          <w:rFonts w:ascii="Times New Roman" w:hAnsi="Times New Roman"/>
          <w:color w:val="000000" w:themeColor="text1"/>
          <w:sz w:val="28"/>
          <w:szCs w:val="28"/>
          <w:highlight w:val="yellow"/>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A02453" w:rsidRPr="00A02453" w:rsidRDefault="00A02453" w:rsidP="00A02453">
      <w:pPr>
        <w:spacing w:line="240" w:lineRule="auto"/>
        <w:ind w:firstLine="741"/>
        <w:jc w:val="both"/>
        <w:rPr>
          <w:rFonts w:ascii="Times New Roman" w:hAnsi="Times New Roman"/>
          <w:szCs w:val="28"/>
        </w:rPr>
      </w:pPr>
      <w:r w:rsidRPr="00A02453">
        <w:rPr>
          <w:rFonts w:ascii="Times New Roman" w:eastAsiaTheme="minorHAnsi" w:hAnsi="Times New Roman"/>
          <w:color w:val="000000" w:themeColor="text1"/>
          <w:sz w:val="28"/>
          <w:szCs w:val="28"/>
          <w:highlight w:val="yellow"/>
        </w:rPr>
        <w:t xml:space="preserve"> </w:t>
      </w:r>
      <w:r w:rsidRPr="00A02453">
        <w:rPr>
          <w:rFonts w:ascii="Times New Roman" w:hAnsi="Times New Roman"/>
          <w:color w:val="000000" w:themeColor="text1"/>
          <w:sz w:val="28"/>
          <w:szCs w:val="28"/>
          <w:highlight w:val="yellow"/>
        </w:rPr>
        <w:t>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0E62B5" w:rsidRPr="000E62B5" w:rsidRDefault="000E62B5" w:rsidP="000E62B5">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одномандатному (многомандатному)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E62B5" w:rsidRPr="00A02453" w:rsidRDefault="00420D41" w:rsidP="000E62B5">
      <w:pPr>
        <w:pStyle w:val="a3"/>
        <w:ind w:firstLine="708"/>
        <w:jc w:val="both"/>
        <w:outlineLvl w:val="0"/>
        <w:rPr>
          <w:b w:val="0"/>
          <w:szCs w:val="28"/>
        </w:rPr>
      </w:pPr>
      <w:r>
        <w:rPr>
          <w:b w:val="0"/>
          <w:szCs w:val="28"/>
        </w:rPr>
        <w:t>3.3. </w:t>
      </w:r>
      <w:r w:rsidR="00A02453" w:rsidRPr="00A02453">
        <w:rPr>
          <w:rFonts w:eastAsia="PT Astra Serif"/>
          <w:b w:val="0"/>
          <w:szCs w:val="28"/>
          <w:highlight w:val="yellow"/>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одномандатному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02A" w:rsidRDefault="00CD502A" w:rsidP="00626616">
      <w:pPr>
        <w:spacing w:after="0" w:line="240" w:lineRule="auto"/>
      </w:pPr>
      <w:r>
        <w:separator/>
      </w:r>
    </w:p>
  </w:endnote>
  <w:endnote w:type="continuationSeparator" w:id="0">
    <w:p w:rsidR="00CD502A" w:rsidRDefault="00CD502A"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02A" w:rsidRDefault="00CD502A" w:rsidP="00626616">
      <w:pPr>
        <w:spacing w:after="0" w:line="240" w:lineRule="auto"/>
      </w:pPr>
      <w:r>
        <w:separator/>
      </w:r>
    </w:p>
  </w:footnote>
  <w:footnote w:type="continuationSeparator" w:id="0">
    <w:p w:rsidR="00CD502A" w:rsidRDefault="00CD502A" w:rsidP="00626616">
      <w:pPr>
        <w:spacing w:after="0" w:line="240" w:lineRule="auto"/>
      </w:pPr>
      <w:r>
        <w:continuationSeparator/>
      </w:r>
    </w:p>
  </w:footnote>
  <w:footnote w:id="1">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proofErr w:type="gramStart"/>
      <w:r w:rsidRPr="00EF1C0B">
        <w:rPr>
          <w:rFonts w:ascii="Times New Roman" w:eastAsiaTheme="minorHAnsi" w:hAnsi="Times New Roman"/>
          <w:sz w:val="16"/>
          <w:szCs w:val="16"/>
        </w:rPr>
        <w:t>Территориальная</w:t>
      </w:r>
      <w:proofErr w:type="gramEnd"/>
      <w:r w:rsidRPr="00EF1C0B">
        <w:rPr>
          <w:rFonts w:ascii="Times New Roman" w:eastAsiaTheme="minorHAnsi" w:hAnsi="Times New Roman"/>
          <w:sz w:val="16"/>
          <w:szCs w:val="16"/>
        </w:rPr>
        <w:t xml:space="preserve">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76" w:rsidRDefault="00257EE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E509AD">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02453"/>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02A"/>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09AD"/>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011"/>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5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4F016-00F3-4E1A-8B01-40778804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1183</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7912</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тик</cp:lastModifiedBy>
  <cp:revision>28</cp:revision>
  <cp:lastPrinted>2019-06-04T05:21:00Z</cp:lastPrinted>
  <dcterms:created xsi:type="dcterms:W3CDTF">2019-06-04T07:07:00Z</dcterms:created>
  <dcterms:modified xsi:type="dcterms:W3CDTF">2026-07-01T13:11:00Z</dcterms:modified>
</cp:coreProperties>
</file>